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0DDD64DE" w:rsidR="00420A38" w:rsidRPr="007A395D" w:rsidRDefault="009A7ACB" w:rsidP="000049D8">
      <w:pPr>
        <w:pStyle w:val="Header"/>
        <w:tabs>
          <w:tab w:val="clear" w:pos="9639"/>
          <w:tab w:val="right" w:pos="5954"/>
        </w:tabs>
        <w:spacing w:after="240"/>
        <w:jc w:val="right"/>
        <w:rPr>
          <w:rFonts w:ascii="Calibri" w:hAnsi="Calibri"/>
        </w:rPr>
      </w:pPr>
      <w:r>
        <w:rPr>
          <w:rFonts w:ascii="Calibri" w:hAnsi="Calibri"/>
        </w:rPr>
        <w:t>ENG19</w:t>
      </w:r>
      <w:r w:rsidR="005A36D8" w:rsidRPr="005A36D8">
        <w:rPr>
          <w:rFonts w:ascii="Calibri" w:hAnsi="Calibri"/>
        </w:rPr>
        <w:t>-</w:t>
      </w:r>
      <w:r>
        <w:rPr>
          <w:rFonts w:ascii="Calibri" w:hAnsi="Calibri"/>
        </w:rPr>
        <w:t>3.1.2.2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230D8BCD" w14:textId="4BF351A2" w:rsidR="00AC41B4" w:rsidRPr="007A395D" w:rsidRDefault="00362CD9" w:rsidP="00AD6E9C">
      <w:pPr>
        <w:pStyle w:val="BodyText"/>
        <w:tabs>
          <w:tab w:val="left" w:pos="0"/>
        </w:tabs>
        <w:ind w:left="3402" w:hanging="3402"/>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A71CF5">
        <w:rPr>
          <w:rFonts w:ascii="Calibri" w:hAnsi="Calibri"/>
        </w:rPr>
        <w:t>Jeffrey van Gils / Ministry of Infrastructure and Water management</w:t>
      </w:r>
      <w:r w:rsidR="00AD6E9C">
        <w:rPr>
          <w:rFonts w:ascii="Calibri" w:hAnsi="Calibri"/>
        </w:rPr>
        <w:t>,</w:t>
      </w:r>
      <w:r w:rsidR="00AD6E9C" w:rsidRPr="00C24386">
        <w:rPr>
          <w:rFonts w:ascii="Calibri" w:hAnsi="Calibri"/>
          <w:highlight w:val="yellow"/>
        </w:rPr>
        <w:t xml:space="preserve"> </w:t>
      </w:r>
      <w:r w:rsidR="00AD6E9C" w:rsidRPr="005A36D8">
        <w:rPr>
          <w:rFonts w:ascii="Calibri" w:hAnsi="Calibri"/>
        </w:rPr>
        <w:t>Hideki Noguchi (JCG), Mahesh Alimchandani (AMSA), Terry Skinsley (AMSA), Alan Grant (GRAD), Jaime Álvarez (IALA)</w:t>
      </w:r>
      <w:r w:rsidR="00AD6E9C">
        <w:rPr>
          <w:rFonts w:ascii="Calibri" w:hAnsi="Calibri"/>
        </w:rPr>
        <w:t>,</w:t>
      </w:r>
      <w:r w:rsidR="00AD6E9C" w:rsidRPr="005A36D8">
        <w:rPr>
          <w:rFonts w:ascii="Calibri" w:hAnsi="Calibri"/>
        </w:rPr>
        <w:t xml:space="preserve"> Manuel Lopez (EUSPA), Jose Manuel Álvarez (ESSP), Jose Luis Martín (ESSP)</w:t>
      </w:r>
    </w:p>
    <w:p w14:paraId="60BCC120" w14:textId="77777777" w:rsidR="0080294B" w:rsidRPr="007A395D" w:rsidRDefault="0080294B" w:rsidP="00FE5674">
      <w:pPr>
        <w:pStyle w:val="BodyText"/>
        <w:tabs>
          <w:tab w:val="left" w:pos="2835"/>
        </w:tabs>
        <w:rPr>
          <w:rFonts w:ascii="Calibri" w:hAnsi="Calibri"/>
        </w:rPr>
      </w:pPr>
    </w:p>
    <w:p w14:paraId="4834080C" w14:textId="56E66C75" w:rsidR="00A446C9" w:rsidRPr="00605E43" w:rsidRDefault="00956368" w:rsidP="00A446C9">
      <w:pPr>
        <w:pStyle w:val="Title"/>
        <w:rPr>
          <w:rFonts w:ascii="Calibri" w:hAnsi="Calibri"/>
          <w:color w:val="0070C0"/>
        </w:rPr>
      </w:pPr>
      <w:r>
        <w:rPr>
          <w:rFonts w:ascii="Calibri" w:hAnsi="Calibri"/>
          <w:color w:val="0070C0"/>
        </w:rPr>
        <w:t xml:space="preserve">Recognition </w:t>
      </w:r>
      <w:r w:rsidR="00A71CF5">
        <w:rPr>
          <w:rFonts w:ascii="Calibri" w:hAnsi="Calibri"/>
          <w:color w:val="0070C0"/>
        </w:rPr>
        <w:t>of augmentation systems in the WWRNS</w:t>
      </w:r>
    </w:p>
    <w:p w14:paraId="0F258596" w14:textId="50FB6E37" w:rsidR="00A446C9" w:rsidRDefault="00A446C9" w:rsidP="00605E43">
      <w:pPr>
        <w:pStyle w:val="Heading1"/>
      </w:pPr>
      <w:r w:rsidRPr="00605E43">
        <w:t>Summary</w:t>
      </w:r>
    </w:p>
    <w:p w14:paraId="5F963C9A" w14:textId="3FCBD431" w:rsidR="00A03960" w:rsidRPr="00A03960" w:rsidRDefault="00A03960" w:rsidP="00A03960">
      <w:pPr>
        <w:pStyle w:val="BodyText"/>
        <w:rPr>
          <w:rFonts w:ascii="Calibri" w:hAnsi="Calibri"/>
        </w:rPr>
      </w:pPr>
      <w:r w:rsidRPr="00A03960">
        <w:rPr>
          <w:rFonts w:ascii="Calibri" w:hAnsi="Calibri"/>
        </w:rPr>
        <w:t>This cover note is</w:t>
      </w:r>
      <w:r>
        <w:rPr>
          <w:rFonts w:ascii="Calibri" w:hAnsi="Calibri"/>
        </w:rPr>
        <w:t xml:space="preserve"> intend</w:t>
      </w:r>
      <w:r w:rsidR="00AD6E9C">
        <w:rPr>
          <w:rFonts w:ascii="Calibri" w:hAnsi="Calibri"/>
        </w:rPr>
        <w:t>ed</w:t>
      </w:r>
      <w:r>
        <w:rPr>
          <w:rFonts w:ascii="Calibri" w:hAnsi="Calibri"/>
        </w:rPr>
        <w:t xml:space="preserve"> to discuss and amend the</w:t>
      </w:r>
      <w:r w:rsidRPr="00A03960">
        <w:rPr>
          <w:rFonts w:ascii="Calibri" w:hAnsi="Calibri"/>
        </w:rPr>
        <w:t xml:space="preserve"> </w:t>
      </w:r>
      <w:r>
        <w:rPr>
          <w:rFonts w:ascii="Calibri" w:hAnsi="Calibri"/>
        </w:rPr>
        <w:t>“</w:t>
      </w:r>
      <w:r w:rsidRPr="00A71CF5">
        <w:rPr>
          <w:rFonts w:ascii="Calibri" w:hAnsi="Calibri"/>
        </w:rPr>
        <w:t>NCSR 12 recognition of augmentation systems</w:t>
      </w:r>
      <w:r w:rsidR="00AC41B4">
        <w:rPr>
          <w:rFonts w:ascii="Calibri" w:hAnsi="Calibri"/>
        </w:rPr>
        <w:t xml:space="preserve"> in the World-wide radionavigation systems</w:t>
      </w:r>
      <w:r>
        <w:rPr>
          <w:rFonts w:ascii="Calibri" w:hAnsi="Calibri"/>
        </w:rPr>
        <w:t>” and forward it to ENG</w:t>
      </w:r>
      <w:r w:rsidR="00AD6E9C">
        <w:rPr>
          <w:rFonts w:ascii="Calibri" w:hAnsi="Calibri"/>
        </w:rPr>
        <w:t>19</w:t>
      </w:r>
      <w:r>
        <w:rPr>
          <w:rFonts w:ascii="Calibri" w:hAnsi="Calibri"/>
        </w:rPr>
        <w:t xml:space="preserve"> committee for further development</w:t>
      </w:r>
    </w:p>
    <w:p w14:paraId="3C575A26" w14:textId="77777777" w:rsidR="001C44A3" w:rsidRPr="00605E43" w:rsidRDefault="00BD4E6F" w:rsidP="00605E43">
      <w:pPr>
        <w:pStyle w:val="Heading2"/>
      </w:pPr>
      <w:r w:rsidRPr="00605E43">
        <w:t>Purpose</w:t>
      </w:r>
      <w:r w:rsidR="004D1D85" w:rsidRPr="00605E43">
        <w:t xml:space="preserve"> of the document</w:t>
      </w:r>
    </w:p>
    <w:p w14:paraId="3AF47D97" w14:textId="7AB64EC4" w:rsidR="006A4B8F" w:rsidRPr="007A395D" w:rsidRDefault="00A71CF5" w:rsidP="006A4B8F">
      <w:pPr>
        <w:pStyle w:val="BodyText"/>
        <w:rPr>
          <w:rFonts w:ascii="Calibri" w:hAnsi="Calibri"/>
        </w:rPr>
      </w:pPr>
      <w:r>
        <w:rPr>
          <w:rFonts w:ascii="Calibri" w:hAnsi="Calibri"/>
        </w:rPr>
        <w:t xml:space="preserve">This document is a cover note for the </w:t>
      </w:r>
      <w:bookmarkStart w:id="0" w:name="_Hlk176917589"/>
      <w:r w:rsidR="001F23B3">
        <w:rPr>
          <w:rFonts w:ascii="Calibri" w:hAnsi="Calibri"/>
        </w:rPr>
        <w:t xml:space="preserve">input </w:t>
      </w:r>
      <w:r w:rsidR="006A4B8F">
        <w:rPr>
          <w:rFonts w:ascii="Calibri" w:hAnsi="Calibri"/>
        </w:rPr>
        <w:t>“</w:t>
      </w:r>
      <w:r w:rsidR="001F23B3" w:rsidRPr="005A36D8">
        <w:rPr>
          <w:rFonts w:ascii="Calibri" w:hAnsi="Calibri"/>
        </w:rPr>
        <w:t>DTEC3-5.2.0.2</w:t>
      </w:r>
      <w:r w:rsidR="001F23B3">
        <w:rPr>
          <w:rFonts w:ascii="Calibri" w:hAnsi="Calibri"/>
        </w:rPr>
        <w:t xml:space="preserve">.1 - </w:t>
      </w:r>
      <w:r w:rsidR="006A4B8F" w:rsidRPr="00A71CF5">
        <w:rPr>
          <w:rFonts w:ascii="Calibri" w:hAnsi="Calibri"/>
        </w:rPr>
        <w:t xml:space="preserve">NCSR 12 recognition of augmentation systems </w:t>
      </w:r>
      <w:r w:rsidR="00AC41B4">
        <w:rPr>
          <w:rFonts w:ascii="Calibri" w:hAnsi="Calibri"/>
        </w:rPr>
        <w:t>in the World-wide radionavigation systems</w:t>
      </w:r>
      <w:r w:rsidR="006A4B8F">
        <w:rPr>
          <w:rFonts w:ascii="Calibri" w:hAnsi="Calibri"/>
        </w:rPr>
        <w:t>” to be discussed and forwarded to the ENG</w:t>
      </w:r>
      <w:r w:rsidR="00AD6E9C">
        <w:rPr>
          <w:rFonts w:ascii="Calibri" w:hAnsi="Calibri"/>
        </w:rPr>
        <w:t>19</w:t>
      </w:r>
      <w:r w:rsidR="006A4B8F">
        <w:rPr>
          <w:rFonts w:ascii="Calibri" w:hAnsi="Calibri"/>
        </w:rPr>
        <w:t xml:space="preserve"> committee for further discussion.</w:t>
      </w:r>
      <w:bookmarkEnd w:id="0"/>
    </w:p>
    <w:p w14:paraId="36D645BE" w14:textId="77777777" w:rsidR="00B56BDF" w:rsidRPr="007A395D" w:rsidRDefault="00B56BDF" w:rsidP="00605E43">
      <w:pPr>
        <w:pStyle w:val="Heading2"/>
      </w:pPr>
      <w:r w:rsidRPr="007A395D">
        <w:t>Related documents</w:t>
      </w:r>
    </w:p>
    <w:p w14:paraId="553E55ED" w14:textId="7F7752E0" w:rsidR="00E55927" w:rsidRDefault="006F1DD1" w:rsidP="006A4B8F">
      <w:pPr>
        <w:pStyle w:val="BodyText"/>
        <w:numPr>
          <w:ilvl w:val="0"/>
          <w:numId w:val="48"/>
        </w:numPr>
        <w:rPr>
          <w:rFonts w:ascii="Calibri" w:hAnsi="Calibri"/>
        </w:rPr>
      </w:pPr>
      <w:r w:rsidRPr="005A36D8">
        <w:rPr>
          <w:rFonts w:ascii="Calibri" w:hAnsi="Calibri"/>
        </w:rPr>
        <w:t>DTEC3-5.2.0.2</w:t>
      </w:r>
      <w:r>
        <w:rPr>
          <w:rFonts w:ascii="Calibri" w:hAnsi="Calibri"/>
        </w:rPr>
        <w:t xml:space="preserve">.1 - </w:t>
      </w:r>
      <w:r w:rsidRPr="00A71CF5">
        <w:rPr>
          <w:rFonts w:ascii="Calibri" w:hAnsi="Calibri"/>
        </w:rPr>
        <w:t xml:space="preserve">NCSR 12 recognition of augmentation systems </w:t>
      </w:r>
      <w:r>
        <w:rPr>
          <w:rFonts w:ascii="Calibri" w:hAnsi="Calibri"/>
        </w:rPr>
        <w:t>in the World-wide radionavigation systems</w:t>
      </w:r>
    </w:p>
    <w:p w14:paraId="28909FB5" w14:textId="6FF2452E" w:rsidR="006A4B8F" w:rsidRDefault="006A4B8F" w:rsidP="006A4B8F">
      <w:pPr>
        <w:pStyle w:val="BodyText"/>
        <w:numPr>
          <w:ilvl w:val="0"/>
          <w:numId w:val="48"/>
        </w:numPr>
        <w:rPr>
          <w:rFonts w:ascii="Calibri" w:hAnsi="Calibri"/>
        </w:rPr>
      </w:pPr>
      <w:r>
        <w:rPr>
          <w:rFonts w:ascii="Calibri" w:hAnsi="Calibri"/>
        </w:rPr>
        <w:t xml:space="preserve">IMO </w:t>
      </w:r>
      <w:r w:rsidRPr="00A71CF5">
        <w:rPr>
          <w:rFonts w:ascii="Calibri" w:hAnsi="Calibri"/>
        </w:rPr>
        <w:t>MSC 107/17/7</w:t>
      </w:r>
    </w:p>
    <w:p w14:paraId="2BFAFD6B" w14:textId="53DD0D86" w:rsidR="00AC41B4" w:rsidRDefault="00AC41B4" w:rsidP="006A4B8F">
      <w:pPr>
        <w:pStyle w:val="BodyText"/>
        <w:numPr>
          <w:ilvl w:val="0"/>
          <w:numId w:val="48"/>
        </w:numPr>
        <w:rPr>
          <w:rFonts w:ascii="Calibri" w:hAnsi="Calibri"/>
        </w:rPr>
      </w:pPr>
      <w:r>
        <w:rPr>
          <w:rFonts w:ascii="Calibri" w:hAnsi="Calibri"/>
        </w:rPr>
        <w:t>IMO MSC 107/20</w:t>
      </w:r>
    </w:p>
    <w:p w14:paraId="5B01E7EE" w14:textId="77777777" w:rsidR="00AC41B4" w:rsidRPr="00AC41B4" w:rsidRDefault="00AC41B4" w:rsidP="00AC41B4">
      <w:pPr>
        <w:pStyle w:val="BodyText"/>
        <w:numPr>
          <w:ilvl w:val="0"/>
          <w:numId w:val="48"/>
        </w:numPr>
        <w:rPr>
          <w:rFonts w:ascii="Calibri" w:hAnsi="Calibri"/>
        </w:rPr>
      </w:pPr>
      <w:r w:rsidRPr="00AC41B4">
        <w:rPr>
          <w:rFonts w:ascii="Calibri" w:hAnsi="Calibri"/>
        </w:rPr>
        <w:t>ENG17 input paper: “Development of Procedures and Requirements for the Recognition of Augmentation Systems in the WWRNS”</w:t>
      </w:r>
    </w:p>
    <w:p w14:paraId="0DC3550D" w14:textId="732B6CF9" w:rsidR="00AC41B4" w:rsidRPr="007A395D" w:rsidRDefault="00AC41B4" w:rsidP="00AC41B4">
      <w:pPr>
        <w:pStyle w:val="BodyText"/>
        <w:numPr>
          <w:ilvl w:val="0"/>
          <w:numId w:val="48"/>
        </w:numPr>
        <w:rPr>
          <w:rFonts w:ascii="Calibri" w:hAnsi="Calibri"/>
        </w:rPr>
      </w:pPr>
      <w:r w:rsidRPr="00AC41B4">
        <w:rPr>
          <w:rFonts w:ascii="Calibri" w:hAnsi="Calibri"/>
        </w:rPr>
        <w:t>ENG18 input paper: “Discussion on Procedures and Requirements for the Recognition of Augmentation Systems in the WWRNS”</w:t>
      </w:r>
    </w:p>
    <w:p w14:paraId="53733F03" w14:textId="77777777" w:rsidR="00A446C9" w:rsidRPr="007A395D" w:rsidRDefault="00A446C9" w:rsidP="00605E43">
      <w:pPr>
        <w:pStyle w:val="Heading1"/>
      </w:pPr>
      <w:r w:rsidRPr="007A395D">
        <w:t>Background</w:t>
      </w:r>
    </w:p>
    <w:p w14:paraId="76C0BC91" w14:textId="1EE1A527" w:rsidR="006A4B8F" w:rsidRPr="00A71CF5" w:rsidRDefault="006A4B8F" w:rsidP="006A4B8F">
      <w:pPr>
        <w:pStyle w:val="BodyText"/>
        <w:rPr>
          <w:rFonts w:ascii="Calibri" w:hAnsi="Calibri"/>
        </w:rPr>
      </w:pPr>
      <w:r w:rsidRPr="00A71CF5">
        <w:rPr>
          <w:rFonts w:ascii="Calibri" w:hAnsi="Calibri"/>
        </w:rPr>
        <w:t>Following consideration of a proposal from Australia et.al</w:t>
      </w:r>
      <w:r>
        <w:rPr>
          <w:rFonts w:ascii="Calibri" w:hAnsi="Calibri"/>
        </w:rPr>
        <w:t xml:space="preserve"> to IMO MSC</w:t>
      </w:r>
      <w:r w:rsidRPr="00A71CF5">
        <w:rPr>
          <w:rFonts w:ascii="Calibri" w:hAnsi="Calibri"/>
        </w:rPr>
        <w:t xml:space="preserve"> (MSC 107/17/7), MSC 107 agreed to include in its post-biennial agenda (MSC 107/20 paragraphs 17.58.1 and .2 refer)</w:t>
      </w:r>
      <w:r w:rsidR="00AD6E9C">
        <w:rPr>
          <w:rFonts w:ascii="Calibri" w:hAnsi="Calibri"/>
        </w:rPr>
        <w:t xml:space="preserve"> the following</w:t>
      </w:r>
      <w:r w:rsidRPr="00A71CF5">
        <w:rPr>
          <w:rFonts w:ascii="Calibri" w:hAnsi="Calibri"/>
        </w:rPr>
        <w:t>:</w:t>
      </w:r>
    </w:p>
    <w:p w14:paraId="5B0EF7D1" w14:textId="77777777" w:rsidR="006A4B8F" w:rsidRPr="005A36D8" w:rsidRDefault="006A4B8F" w:rsidP="005A36D8">
      <w:pPr>
        <w:pStyle w:val="BodyText"/>
        <w:numPr>
          <w:ilvl w:val="0"/>
          <w:numId w:val="49"/>
        </w:numPr>
        <w:rPr>
          <w:rFonts w:ascii="Calibri" w:hAnsi="Calibri"/>
          <w:i/>
          <w:iCs/>
        </w:rPr>
      </w:pPr>
      <w:r w:rsidRPr="005A36D8">
        <w:rPr>
          <w:rFonts w:ascii="Calibri" w:hAnsi="Calibri"/>
          <w:i/>
          <w:iCs/>
        </w:rPr>
        <w:t>an output on "Development of procedures and requirements for the recognition of augmentation systems in the World-wide radionavigation system", with one session needed to complete the item; and</w:t>
      </w:r>
    </w:p>
    <w:p w14:paraId="6845F18D" w14:textId="6FB22AC8" w:rsidR="006A4B8F" w:rsidRPr="005A36D8" w:rsidRDefault="006A4B8F" w:rsidP="005A36D8">
      <w:pPr>
        <w:pStyle w:val="BodyText"/>
        <w:numPr>
          <w:ilvl w:val="0"/>
          <w:numId w:val="49"/>
        </w:numPr>
        <w:rPr>
          <w:rFonts w:ascii="Calibri" w:hAnsi="Calibri"/>
          <w:i/>
          <w:iCs/>
        </w:rPr>
      </w:pPr>
      <w:r w:rsidRPr="005A36D8">
        <w:rPr>
          <w:rFonts w:ascii="Calibri" w:hAnsi="Calibri"/>
          <w:i/>
          <w:iCs/>
        </w:rPr>
        <w:lastRenderedPageBreak/>
        <w:t>an output on "</w:t>
      </w:r>
      <w:bookmarkStart w:id="1" w:name="_Hlk176918203"/>
      <w:r w:rsidRPr="005A36D8">
        <w:rPr>
          <w:rFonts w:ascii="Calibri" w:hAnsi="Calibri"/>
          <w:i/>
          <w:iCs/>
        </w:rPr>
        <w:t>Development of performance standards for dual frequency multi-constellation satellite-based augmentation systems (DFMC SBAS) and advanced receiver autonomous integrity monitoring (ARAIM) in shipborne radionavigation receivers"</w:t>
      </w:r>
      <w:bookmarkEnd w:id="1"/>
      <w:r w:rsidRPr="005A36D8">
        <w:rPr>
          <w:rFonts w:ascii="Calibri" w:hAnsi="Calibri"/>
          <w:i/>
          <w:iCs/>
        </w:rPr>
        <w:t>, with two sessions needed to complete the item.</w:t>
      </w:r>
      <w:r w:rsidR="00E177EF" w:rsidRPr="005A36D8">
        <w:rPr>
          <w:rFonts w:ascii="Calibri" w:hAnsi="Calibri"/>
          <w:i/>
          <w:iCs/>
        </w:rPr>
        <w:t xml:space="preserve"> </w:t>
      </w:r>
    </w:p>
    <w:p w14:paraId="07452EBC" w14:textId="46892A5F" w:rsidR="00A446C9" w:rsidRDefault="00AD6E9C" w:rsidP="00A446C9">
      <w:pPr>
        <w:pStyle w:val="BodyText"/>
        <w:rPr>
          <w:rFonts w:ascii="Calibri" w:hAnsi="Calibri"/>
        </w:rPr>
      </w:pPr>
      <w:r w:rsidRPr="005A36D8">
        <w:rPr>
          <w:rFonts w:ascii="Calibri" w:hAnsi="Calibri"/>
          <w:i/>
          <w:iCs/>
        </w:rPr>
        <w:t>assigning the NCSR Sub-Committee as the associated organ. In doing so, the Committee agreed that the performance standards for DFMC SBAS and ARAIM in shipborne radionavigation receivers should be developed only after the approval/adoption of the necessary procedures and requirements for the recognition of augmentation systems</w:t>
      </w:r>
      <w:r w:rsidR="006A4B8F">
        <w:rPr>
          <w:rFonts w:ascii="Calibri" w:hAnsi="Calibri"/>
        </w:rPr>
        <w:t>.</w:t>
      </w:r>
    </w:p>
    <w:p w14:paraId="18B5C447" w14:textId="44F0E1E4" w:rsidR="00AC41B4" w:rsidRPr="007A395D" w:rsidRDefault="00E177EF" w:rsidP="00A446C9">
      <w:pPr>
        <w:pStyle w:val="BodyText"/>
        <w:rPr>
          <w:rFonts w:ascii="Calibri" w:hAnsi="Calibri"/>
        </w:rPr>
      </w:pPr>
      <w:proofErr w:type="gramStart"/>
      <w:r>
        <w:rPr>
          <w:rFonts w:ascii="Calibri" w:hAnsi="Calibri"/>
        </w:rPr>
        <w:t>In order t</w:t>
      </w:r>
      <w:r w:rsidR="00AC41B4">
        <w:rPr>
          <w:rFonts w:ascii="Calibri" w:hAnsi="Calibri"/>
        </w:rPr>
        <w:t>o</w:t>
      </w:r>
      <w:proofErr w:type="gramEnd"/>
      <w:r w:rsidR="00AC41B4">
        <w:rPr>
          <w:rFonts w:ascii="Calibri" w:hAnsi="Calibri"/>
        </w:rPr>
        <w:t xml:space="preserve"> </w:t>
      </w:r>
      <w:r w:rsidR="00AC41B4" w:rsidRPr="005A36D8">
        <w:rPr>
          <w:rFonts w:ascii="Calibri" w:hAnsi="Calibri"/>
        </w:rPr>
        <w:t>facilitate the consecution of the first output requested by IMO</w:t>
      </w:r>
      <w:r w:rsidRPr="005A36D8">
        <w:rPr>
          <w:rFonts w:ascii="Calibri" w:hAnsi="Calibri"/>
        </w:rPr>
        <w:t xml:space="preserve">, it was presented in ENG17 </w:t>
      </w:r>
      <w:r w:rsidR="00AC41B4" w:rsidRPr="005A36D8">
        <w:rPr>
          <w:rFonts w:ascii="Calibri" w:hAnsi="Calibri"/>
        </w:rPr>
        <w:t xml:space="preserve">the input paper “Development of Procedures and Requirements for the Recognition of Augmentation Systems in the WWRNS” to introduce the topic </w:t>
      </w:r>
      <w:r w:rsidRPr="005A36D8">
        <w:rPr>
          <w:rFonts w:ascii="Calibri" w:hAnsi="Calibri"/>
        </w:rPr>
        <w:t>in</w:t>
      </w:r>
      <w:r w:rsidR="00AC41B4" w:rsidRPr="005A36D8">
        <w:rPr>
          <w:rFonts w:ascii="Calibri" w:hAnsi="Calibri"/>
        </w:rPr>
        <w:t xml:space="preserve"> ENG WG2 requesting also the support of </w:t>
      </w:r>
      <w:r w:rsidRPr="005A36D8">
        <w:rPr>
          <w:rFonts w:ascii="Calibri" w:hAnsi="Calibri"/>
        </w:rPr>
        <w:t>their</w:t>
      </w:r>
      <w:r w:rsidR="00AC41B4" w:rsidRPr="005A36D8">
        <w:rPr>
          <w:rFonts w:ascii="Calibri" w:hAnsi="Calibri"/>
        </w:rPr>
        <w:t xml:space="preserve"> members. This effort was followed by the presentation of the subsequent input paper “Discussion on Procedures and Requirements for the Recognition of Augmentation Systems in the WWRNS” in ENG18, being </w:t>
      </w:r>
      <w:r w:rsidR="00AC41B4">
        <w:rPr>
          <w:rFonts w:ascii="Calibri" w:hAnsi="Calibri"/>
        </w:rPr>
        <w:t xml:space="preserve">discussed during this committee the main objective of this recognition as well as the interest of IALA members in supporting this activity. </w:t>
      </w:r>
      <w:r>
        <w:rPr>
          <w:rFonts w:ascii="Calibri" w:hAnsi="Calibri"/>
        </w:rPr>
        <w:t>Thus,</w:t>
      </w:r>
      <w:r w:rsidR="00AC41B4">
        <w:rPr>
          <w:rFonts w:ascii="Calibri" w:hAnsi="Calibri"/>
        </w:rPr>
        <w:t xml:space="preserve"> </w:t>
      </w:r>
      <w:r>
        <w:rPr>
          <w:rFonts w:ascii="Calibri" w:hAnsi="Calibri"/>
        </w:rPr>
        <w:t>interested contributors within the working group</w:t>
      </w:r>
      <w:r w:rsidR="00AC41B4">
        <w:rPr>
          <w:rFonts w:ascii="Calibri" w:hAnsi="Calibri"/>
        </w:rPr>
        <w:t xml:space="preserve"> approved the work plan</w:t>
      </w:r>
      <w:r>
        <w:rPr>
          <w:rFonts w:ascii="Calibri" w:hAnsi="Calibri"/>
        </w:rPr>
        <w:t xml:space="preserve"> to develop the document</w:t>
      </w:r>
      <w:r w:rsidR="00AC41B4">
        <w:rPr>
          <w:rFonts w:ascii="Calibri" w:hAnsi="Calibri"/>
        </w:rPr>
        <w:t xml:space="preserve"> </w:t>
      </w:r>
      <w:r>
        <w:rPr>
          <w:rFonts w:ascii="Calibri" w:hAnsi="Calibri"/>
        </w:rPr>
        <w:t>which entailed</w:t>
      </w:r>
      <w:r w:rsidR="00AC41B4">
        <w:rPr>
          <w:rFonts w:ascii="Calibri" w:hAnsi="Calibri"/>
        </w:rPr>
        <w:t xml:space="preserve"> two intersessional meetings before ENG19 committee. </w:t>
      </w:r>
      <w:r>
        <w:rPr>
          <w:rFonts w:ascii="Calibri" w:hAnsi="Calibri"/>
        </w:rPr>
        <w:t>As a result, it has been developed the</w:t>
      </w:r>
      <w:r w:rsidR="00AC41B4">
        <w:rPr>
          <w:rFonts w:ascii="Calibri" w:hAnsi="Calibri"/>
        </w:rPr>
        <w:t xml:space="preserve"> document “</w:t>
      </w:r>
      <w:r w:rsidR="00AC41B4" w:rsidRPr="00A71CF5">
        <w:rPr>
          <w:rFonts w:ascii="Calibri" w:hAnsi="Calibri"/>
        </w:rPr>
        <w:t xml:space="preserve">NCSR 12 recognition of augmentation systems </w:t>
      </w:r>
      <w:r w:rsidR="00AC41B4">
        <w:rPr>
          <w:rFonts w:ascii="Calibri" w:hAnsi="Calibri"/>
        </w:rPr>
        <w:t>in the World-wide radionavigation systems”</w:t>
      </w:r>
      <w:r>
        <w:rPr>
          <w:rFonts w:ascii="Calibri" w:hAnsi="Calibri"/>
        </w:rPr>
        <w:t>.</w:t>
      </w:r>
    </w:p>
    <w:p w14:paraId="041E9135" w14:textId="77777777" w:rsidR="00A446C9" w:rsidRDefault="00A446C9" w:rsidP="00605E43">
      <w:pPr>
        <w:pStyle w:val="Heading1"/>
      </w:pPr>
      <w:r w:rsidRPr="007A395D">
        <w:t>Discussion</w:t>
      </w:r>
    </w:p>
    <w:p w14:paraId="1850EADD" w14:textId="307E3E46" w:rsidR="00A03960" w:rsidRDefault="00A03960" w:rsidP="00A03960">
      <w:pPr>
        <w:pStyle w:val="BodyText"/>
        <w:rPr>
          <w:rFonts w:ascii="Calibri" w:hAnsi="Calibri"/>
        </w:rPr>
      </w:pPr>
      <w:r w:rsidRPr="00A03960">
        <w:rPr>
          <w:rFonts w:ascii="Calibri" w:hAnsi="Calibri"/>
        </w:rPr>
        <w:t>During the sessions of the ENG committee and intersessional sessions</w:t>
      </w:r>
      <w:r w:rsidR="005A36D8">
        <w:rPr>
          <w:rFonts w:ascii="Calibri" w:hAnsi="Calibri"/>
        </w:rPr>
        <w:t>,</w:t>
      </w:r>
      <w:r w:rsidRPr="00A03960">
        <w:rPr>
          <w:rFonts w:ascii="Calibri" w:hAnsi="Calibri"/>
        </w:rPr>
        <w:t xml:space="preserve"> </w:t>
      </w:r>
      <w:r w:rsidR="00E177EF">
        <w:rPr>
          <w:rFonts w:ascii="Calibri" w:hAnsi="Calibri"/>
        </w:rPr>
        <w:t xml:space="preserve">the </w:t>
      </w:r>
      <w:r w:rsidR="005A36D8" w:rsidRPr="00A03960">
        <w:rPr>
          <w:rFonts w:ascii="Calibri" w:hAnsi="Calibri"/>
        </w:rPr>
        <w:t>document</w:t>
      </w:r>
      <w:r w:rsidRPr="00A03960">
        <w:rPr>
          <w:rFonts w:ascii="Calibri" w:hAnsi="Calibri"/>
        </w:rPr>
        <w:t xml:space="preserve"> </w:t>
      </w:r>
      <w:r>
        <w:rPr>
          <w:rFonts w:ascii="Calibri" w:hAnsi="Calibri"/>
        </w:rPr>
        <w:t>“</w:t>
      </w:r>
      <w:r w:rsidRPr="00A71CF5">
        <w:rPr>
          <w:rFonts w:ascii="Calibri" w:hAnsi="Calibri"/>
        </w:rPr>
        <w:t xml:space="preserve">NCSR 12  recognition of augmentation systems </w:t>
      </w:r>
      <w:r w:rsidR="00E177EF">
        <w:rPr>
          <w:rFonts w:ascii="Calibri" w:hAnsi="Calibri"/>
        </w:rPr>
        <w:t>in the World-wide radionavigation systems</w:t>
      </w:r>
      <w:r>
        <w:rPr>
          <w:rFonts w:ascii="Calibri" w:hAnsi="Calibri"/>
        </w:rPr>
        <w:t>” was developed.</w:t>
      </w:r>
    </w:p>
    <w:p w14:paraId="7F32EEA3" w14:textId="03F155DA" w:rsidR="00A03960" w:rsidRDefault="00A03960" w:rsidP="00A03960">
      <w:pPr>
        <w:pStyle w:val="BodyText"/>
        <w:rPr>
          <w:rFonts w:ascii="Calibri" w:hAnsi="Calibri"/>
        </w:rPr>
      </w:pPr>
      <w:proofErr w:type="gramStart"/>
      <w:r>
        <w:rPr>
          <w:rFonts w:ascii="Calibri" w:hAnsi="Calibri"/>
        </w:rPr>
        <w:t>At the moment</w:t>
      </w:r>
      <w:proofErr w:type="gramEnd"/>
      <w:r w:rsidR="00E177EF">
        <w:rPr>
          <w:rFonts w:ascii="Calibri" w:hAnsi="Calibri"/>
        </w:rPr>
        <w:t>,</w:t>
      </w:r>
      <w:r>
        <w:rPr>
          <w:rFonts w:ascii="Calibri" w:hAnsi="Calibri"/>
        </w:rPr>
        <w:t xml:space="preserve"> output 1 </w:t>
      </w:r>
      <w:r w:rsidRPr="00A03960">
        <w:rPr>
          <w:rFonts w:ascii="Calibri" w:hAnsi="Calibri"/>
        </w:rPr>
        <w:t>"Development of procedures and requirements for the recognition of augmentation systems in the World-wide radionavigation system</w:t>
      </w:r>
      <w:r>
        <w:rPr>
          <w:rFonts w:ascii="Calibri" w:hAnsi="Calibri"/>
        </w:rPr>
        <w:t xml:space="preserve">” </w:t>
      </w:r>
      <w:r w:rsidR="00E177EF">
        <w:rPr>
          <w:rFonts w:ascii="Calibri" w:hAnsi="Calibri"/>
        </w:rPr>
        <w:t xml:space="preserve">is </w:t>
      </w:r>
      <w:r>
        <w:rPr>
          <w:rFonts w:ascii="Calibri" w:hAnsi="Calibri"/>
        </w:rPr>
        <w:t xml:space="preserve">on the agenda of the next IMO NCSR meeting </w:t>
      </w:r>
      <w:r w:rsidR="00FF7999">
        <w:rPr>
          <w:rFonts w:ascii="Calibri" w:hAnsi="Calibri"/>
        </w:rPr>
        <w:t xml:space="preserve">while output 2 </w:t>
      </w:r>
      <w:r>
        <w:rPr>
          <w:rFonts w:ascii="Calibri" w:hAnsi="Calibri"/>
        </w:rPr>
        <w:t>“</w:t>
      </w:r>
      <w:r w:rsidRPr="00A03960">
        <w:rPr>
          <w:rFonts w:ascii="Calibri" w:hAnsi="Calibri"/>
        </w:rPr>
        <w:t>Development of performance standards for dual frequency multi-constellation satellite-based augmentation systems (DFMC SBAS) and advanced receiver autonomous integrity monitoring (ARAIM) in shipborne radionavigation receivers"</w:t>
      </w:r>
      <w:r w:rsidR="00FF7999">
        <w:rPr>
          <w:rFonts w:ascii="Calibri" w:hAnsi="Calibri"/>
        </w:rPr>
        <w:t xml:space="preserve"> not</w:t>
      </w:r>
      <w:r>
        <w:rPr>
          <w:rFonts w:ascii="Calibri" w:hAnsi="Calibri"/>
        </w:rPr>
        <w:t>.</w:t>
      </w:r>
      <w:r w:rsidR="00FF7999">
        <w:rPr>
          <w:rFonts w:ascii="Calibri" w:hAnsi="Calibri"/>
        </w:rPr>
        <w:t xml:space="preserve"> Indeed, output 2 is </w:t>
      </w:r>
      <w:r w:rsidR="00AD6E9C">
        <w:rPr>
          <w:rFonts w:ascii="Calibri" w:hAnsi="Calibri"/>
        </w:rPr>
        <w:t>subordinated</w:t>
      </w:r>
      <w:r w:rsidR="00FF7999">
        <w:rPr>
          <w:rFonts w:ascii="Calibri" w:hAnsi="Calibri"/>
        </w:rPr>
        <w:t xml:space="preserve"> to the </w:t>
      </w:r>
      <w:r w:rsidR="00FF7999" w:rsidRPr="00E177EF">
        <w:rPr>
          <w:rFonts w:ascii="Calibri" w:hAnsi="Calibri"/>
        </w:rPr>
        <w:t>approval/adoption</w:t>
      </w:r>
      <w:r w:rsidR="00FF7999">
        <w:rPr>
          <w:rFonts w:ascii="Calibri" w:hAnsi="Calibri"/>
        </w:rPr>
        <w:t xml:space="preserve"> of output 1.</w:t>
      </w:r>
    </w:p>
    <w:p w14:paraId="29968447" w14:textId="500E9B01" w:rsidR="00A03960" w:rsidRDefault="00A03960" w:rsidP="00C716C4">
      <w:pPr>
        <w:pStyle w:val="BodyText"/>
        <w:rPr>
          <w:rFonts w:ascii="Calibri" w:hAnsi="Calibri"/>
        </w:rPr>
      </w:pPr>
      <w:r>
        <w:rPr>
          <w:rFonts w:ascii="Calibri" w:hAnsi="Calibri"/>
        </w:rPr>
        <w:t>Having output 1 on the agenda of IMO NCSR is an excellent chan</w:t>
      </w:r>
      <w:r w:rsidR="005A06A0">
        <w:rPr>
          <w:rFonts w:ascii="Calibri" w:hAnsi="Calibri"/>
        </w:rPr>
        <w:t>c</w:t>
      </w:r>
      <w:r>
        <w:rPr>
          <w:rFonts w:ascii="Calibri" w:hAnsi="Calibri"/>
        </w:rPr>
        <w:t xml:space="preserve">e to embed the procedures and requirements </w:t>
      </w:r>
      <w:r w:rsidR="005F5ACA">
        <w:rPr>
          <w:rFonts w:ascii="Calibri" w:hAnsi="Calibri"/>
        </w:rPr>
        <w:t xml:space="preserve">for the recognition </w:t>
      </w:r>
      <w:r>
        <w:rPr>
          <w:rFonts w:ascii="Calibri" w:hAnsi="Calibri"/>
        </w:rPr>
        <w:t>of augmentation systems in a revision of IMO resolution A.1046(27)</w:t>
      </w:r>
      <w:r w:rsidR="0071520E">
        <w:rPr>
          <w:rFonts w:ascii="Calibri" w:hAnsi="Calibri"/>
        </w:rPr>
        <w:t>,</w:t>
      </w:r>
      <w:r>
        <w:rPr>
          <w:rFonts w:ascii="Calibri" w:hAnsi="Calibri"/>
        </w:rPr>
        <w:t xml:space="preserve"> </w:t>
      </w:r>
      <w:r w:rsidR="0071520E">
        <w:rPr>
          <w:rFonts w:ascii="Calibri" w:hAnsi="Calibri"/>
        </w:rPr>
        <w:t>since</w:t>
      </w:r>
      <w:r w:rsidR="00FF7999">
        <w:rPr>
          <w:rFonts w:ascii="Calibri" w:hAnsi="Calibri"/>
        </w:rPr>
        <w:t xml:space="preserve"> </w:t>
      </w:r>
      <w:r>
        <w:rPr>
          <w:rFonts w:ascii="Calibri" w:hAnsi="Calibri"/>
        </w:rPr>
        <w:t>this resolution is specific for the</w:t>
      </w:r>
      <w:r w:rsidR="00C716C4">
        <w:rPr>
          <w:rFonts w:ascii="Calibri" w:hAnsi="Calibri"/>
        </w:rPr>
        <w:t xml:space="preserve"> recognition/acknowledgement of WWRNS systems</w:t>
      </w:r>
      <w:r w:rsidR="0071520E">
        <w:rPr>
          <w:rFonts w:ascii="Calibri" w:hAnsi="Calibri"/>
        </w:rPr>
        <w:t xml:space="preserve">, or on the contrary to embed the proposed procedures and requirements to recognise augmentation systems in a new </w:t>
      </w:r>
      <w:r w:rsidR="005F5ACA">
        <w:rPr>
          <w:rFonts w:ascii="Calibri" w:hAnsi="Calibri"/>
        </w:rPr>
        <w:t xml:space="preserve">ad-hoc </w:t>
      </w:r>
      <w:r w:rsidR="0071520E">
        <w:rPr>
          <w:rFonts w:ascii="Calibri" w:hAnsi="Calibri"/>
        </w:rPr>
        <w:t>resolution</w:t>
      </w:r>
      <w:r w:rsidR="00C716C4">
        <w:rPr>
          <w:rFonts w:ascii="Calibri" w:hAnsi="Calibri"/>
        </w:rPr>
        <w:t>.</w:t>
      </w:r>
      <w:r w:rsidR="0071520E">
        <w:rPr>
          <w:rFonts w:ascii="Calibri" w:hAnsi="Calibri"/>
        </w:rPr>
        <w:t xml:space="preserve"> Both </w:t>
      </w:r>
      <w:r w:rsidR="005F5ACA">
        <w:rPr>
          <w:rFonts w:ascii="Calibri" w:hAnsi="Calibri"/>
        </w:rPr>
        <w:t>options</w:t>
      </w:r>
      <w:r w:rsidR="0071520E">
        <w:rPr>
          <w:rFonts w:ascii="Calibri" w:hAnsi="Calibri"/>
        </w:rPr>
        <w:t xml:space="preserve"> might result that all current augmentation systems like DGPS and SBAS should be recognised.</w:t>
      </w:r>
    </w:p>
    <w:p w14:paraId="0D381EC5" w14:textId="0F61CDF8" w:rsidR="00C716C4" w:rsidRPr="00A03960" w:rsidRDefault="00C716C4" w:rsidP="00C716C4">
      <w:pPr>
        <w:pStyle w:val="BodyText"/>
        <w:rPr>
          <w:rFonts w:ascii="Calibri" w:hAnsi="Calibri"/>
        </w:rPr>
      </w:pPr>
      <w:r>
        <w:rPr>
          <w:rFonts w:ascii="Calibri" w:hAnsi="Calibri"/>
        </w:rPr>
        <w:t xml:space="preserve">Revoking IMO resolution A.1046 is an option but then </w:t>
      </w:r>
      <w:r w:rsidR="0079670C">
        <w:rPr>
          <w:rFonts w:ascii="Calibri" w:hAnsi="Calibri"/>
        </w:rPr>
        <w:t>there should be made special arrangements for already approved satellite navigation systems. This might result in a long discussion at IMO.</w:t>
      </w:r>
    </w:p>
    <w:p w14:paraId="7A8D2F27" w14:textId="77777777" w:rsidR="00A446C9" w:rsidRPr="007A395D" w:rsidRDefault="00A446C9" w:rsidP="00605E43">
      <w:pPr>
        <w:pStyle w:val="Heading1"/>
      </w:pPr>
      <w:r w:rsidRPr="007A395D">
        <w:t>Action requested of the Committee</w:t>
      </w:r>
    </w:p>
    <w:p w14:paraId="1556E528" w14:textId="5E0AB554" w:rsidR="00F25BF4" w:rsidRPr="007A395D" w:rsidRDefault="00F25BF4" w:rsidP="00A446C9">
      <w:pPr>
        <w:pStyle w:val="BodyText"/>
        <w:rPr>
          <w:rFonts w:ascii="Calibri" w:hAnsi="Calibri"/>
        </w:rPr>
      </w:pPr>
      <w:r w:rsidRPr="007A395D">
        <w:rPr>
          <w:rFonts w:ascii="Calibri" w:hAnsi="Calibri"/>
        </w:rPr>
        <w:t>The Committee is requested to:</w:t>
      </w:r>
    </w:p>
    <w:p w14:paraId="015CCE65" w14:textId="77777777" w:rsidR="0079670C" w:rsidRDefault="0079670C" w:rsidP="00362CD9">
      <w:pPr>
        <w:pStyle w:val="List1"/>
        <w:numPr>
          <w:ilvl w:val="0"/>
          <w:numId w:val="39"/>
        </w:numPr>
        <w:rPr>
          <w:rFonts w:ascii="Calibri" w:hAnsi="Calibri"/>
        </w:rPr>
      </w:pPr>
      <w:r>
        <w:rPr>
          <w:rFonts w:ascii="Calibri" w:hAnsi="Calibri"/>
        </w:rPr>
        <w:t xml:space="preserve">Discuss a possible way </w:t>
      </w:r>
      <w:proofErr w:type="gramStart"/>
      <w:r>
        <w:rPr>
          <w:rFonts w:ascii="Calibri" w:hAnsi="Calibri"/>
        </w:rPr>
        <w:t>forward;</w:t>
      </w:r>
      <w:proofErr w:type="gramEnd"/>
    </w:p>
    <w:p w14:paraId="41A1E375" w14:textId="2741D643" w:rsidR="00F25BF4" w:rsidRPr="007A395D" w:rsidRDefault="0079670C" w:rsidP="00362CD9">
      <w:pPr>
        <w:pStyle w:val="List1"/>
        <w:numPr>
          <w:ilvl w:val="0"/>
          <w:numId w:val="39"/>
        </w:numPr>
        <w:rPr>
          <w:rFonts w:ascii="Calibri" w:hAnsi="Calibri"/>
        </w:rPr>
      </w:pPr>
      <w:r>
        <w:rPr>
          <w:rFonts w:ascii="Calibri" w:hAnsi="Calibri"/>
        </w:rPr>
        <w:t>E</w:t>
      </w:r>
      <w:r w:rsidR="006A4B8F">
        <w:rPr>
          <w:rFonts w:ascii="Calibri" w:hAnsi="Calibri"/>
        </w:rPr>
        <w:t>nhance</w:t>
      </w:r>
      <w:r w:rsidR="006A4B8F" w:rsidRPr="006A4B8F">
        <w:rPr>
          <w:rFonts w:ascii="Calibri" w:hAnsi="Calibri"/>
        </w:rPr>
        <w:t xml:space="preserve"> </w:t>
      </w:r>
      <w:r w:rsidR="005A36D8">
        <w:rPr>
          <w:rFonts w:ascii="Calibri" w:hAnsi="Calibri"/>
        </w:rPr>
        <w:t>document</w:t>
      </w:r>
      <w:r w:rsidR="005A36D8" w:rsidRPr="006A4B8F">
        <w:rPr>
          <w:rFonts w:ascii="Calibri" w:hAnsi="Calibri"/>
        </w:rPr>
        <w:t>” NCSR</w:t>
      </w:r>
      <w:r w:rsidR="006A4B8F" w:rsidRPr="006A4B8F">
        <w:rPr>
          <w:rFonts w:ascii="Calibri" w:hAnsi="Calibri"/>
        </w:rPr>
        <w:t xml:space="preserve"> 12 recognition of augmentation systems </w:t>
      </w:r>
      <w:r w:rsidR="00956368">
        <w:rPr>
          <w:rFonts w:ascii="Calibri" w:hAnsi="Calibri"/>
        </w:rPr>
        <w:t>in the World-wide radionavigation systems</w:t>
      </w:r>
      <w:r w:rsidR="006A4B8F" w:rsidRPr="006A4B8F">
        <w:rPr>
          <w:rFonts w:ascii="Calibri" w:hAnsi="Calibri"/>
        </w:rPr>
        <w:t>”</w:t>
      </w:r>
      <w:r>
        <w:rPr>
          <w:rFonts w:ascii="Calibri" w:hAnsi="Calibri"/>
        </w:rPr>
        <w:t xml:space="preserve"> according the </w:t>
      </w:r>
      <w:proofErr w:type="gramStart"/>
      <w:r>
        <w:rPr>
          <w:rFonts w:ascii="Calibri" w:hAnsi="Calibri"/>
        </w:rPr>
        <w:t>discussion;</w:t>
      </w:r>
      <w:proofErr w:type="gramEnd"/>
    </w:p>
    <w:p w14:paraId="7A9FD49F" w14:textId="12846B70" w:rsidR="00F25BF4" w:rsidRPr="007A395D" w:rsidRDefault="006A4B8F" w:rsidP="00F25BF4">
      <w:pPr>
        <w:pStyle w:val="List1"/>
        <w:rPr>
          <w:rFonts w:ascii="Calibri" w:hAnsi="Calibri"/>
        </w:rPr>
      </w:pPr>
      <w:r>
        <w:rPr>
          <w:rFonts w:ascii="Calibri" w:hAnsi="Calibri"/>
        </w:rPr>
        <w:t xml:space="preserve">Forward the document </w:t>
      </w:r>
      <w:r w:rsidR="0079670C">
        <w:rPr>
          <w:rFonts w:ascii="Calibri" w:hAnsi="Calibri"/>
        </w:rPr>
        <w:t xml:space="preserve">and a possible way forward </w:t>
      </w:r>
      <w:r w:rsidRPr="006A4B8F">
        <w:rPr>
          <w:rFonts w:ascii="Calibri" w:hAnsi="Calibri"/>
        </w:rPr>
        <w:t>to the ENG</w:t>
      </w:r>
      <w:r w:rsidR="00956368">
        <w:rPr>
          <w:rFonts w:ascii="Calibri" w:hAnsi="Calibri"/>
        </w:rPr>
        <w:t>19</w:t>
      </w:r>
      <w:r w:rsidRPr="006A4B8F">
        <w:rPr>
          <w:rFonts w:ascii="Calibri" w:hAnsi="Calibri"/>
        </w:rPr>
        <w:t xml:space="preserve"> committee for further discussion</w:t>
      </w:r>
      <w:r w:rsidR="007C30DF">
        <w:rPr>
          <w:rFonts w:ascii="Calibri" w:hAnsi="Calibri"/>
        </w:rPr>
        <w:t>.</w:t>
      </w:r>
    </w:p>
    <w:p w14:paraId="5E201BEE" w14:textId="5D1EF9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08552C17" w:rsidR="00362CD9" w:rsidRPr="00036B9E" w:rsidRDefault="00956368">
    <w:pPr>
      <w:pStyle w:val="Footer"/>
      <w:rPr>
        <w:rFonts w:ascii="Calibri" w:hAnsi="Calibri"/>
      </w:rPr>
    </w:pPr>
    <w:r>
      <w:rPr>
        <w:rFonts w:ascii="Calibri" w:hAnsi="Calibri"/>
        <w:color w:val="0070C0"/>
      </w:rPr>
      <w:t>Recognition of augmentation systems in the WWRNS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3F824E7C" w:rsidR="007C346C" w:rsidRDefault="009A7AC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A7AC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9A7AC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120CEF"/>
    <w:multiLevelType w:val="hybridMultilevel"/>
    <w:tmpl w:val="DFA45AC6"/>
    <w:lvl w:ilvl="0" w:tplc="E2543328">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D96A14"/>
    <w:multiLevelType w:val="hybridMultilevel"/>
    <w:tmpl w:val="816469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454354C"/>
    <w:multiLevelType w:val="hybridMultilevel"/>
    <w:tmpl w:val="C5A0192A"/>
    <w:lvl w:ilvl="0" w:tplc="E2543328">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931CB0"/>
    <w:multiLevelType w:val="hybridMultilevel"/>
    <w:tmpl w:val="CE5AE4C2"/>
    <w:lvl w:ilvl="0" w:tplc="0809000F">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A43B1D"/>
    <w:multiLevelType w:val="hybridMultilevel"/>
    <w:tmpl w:val="31FCE8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8"/>
  </w:num>
  <w:num w:numId="4" w16cid:durableId="269556168">
    <w:abstractNumId w:val="25"/>
  </w:num>
  <w:num w:numId="5" w16cid:durableId="711004000">
    <w:abstractNumId w:val="18"/>
  </w:num>
  <w:num w:numId="6" w16cid:durableId="1543858341">
    <w:abstractNumId w:val="4"/>
  </w:num>
  <w:num w:numId="7" w16cid:durableId="1788694417">
    <w:abstractNumId w:val="27"/>
  </w:num>
  <w:num w:numId="8" w16cid:durableId="2038699354">
    <w:abstractNumId w:val="13"/>
  </w:num>
  <w:num w:numId="9" w16cid:durableId="2002155931">
    <w:abstractNumId w:val="9"/>
  </w:num>
  <w:num w:numId="10" w16cid:durableId="2001301283">
    <w:abstractNumId w:val="21"/>
  </w:num>
  <w:num w:numId="11" w16cid:durableId="2010475150">
    <w:abstractNumId w:val="19"/>
  </w:num>
  <w:num w:numId="12" w16cid:durableId="368528451">
    <w:abstractNumId w:val="17"/>
  </w:num>
  <w:num w:numId="13" w16cid:durableId="1936857749">
    <w:abstractNumId w:val="26"/>
  </w:num>
  <w:num w:numId="14" w16cid:durableId="16582795">
    <w:abstractNumId w:val="6"/>
  </w:num>
  <w:num w:numId="15" w16cid:durableId="507213867">
    <w:abstractNumId w:val="29"/>
  </w:num>
  <w:num w:numId="16" w16cid:durableId="830172775">
    <w:abstractNumId w:val="16"/>
  </w:num>
  <w:num w:numId="17" w16cid:durableId="1526405296">
    <w:abstractNumId w:val="7"/>
  </w:num>
  <w:num w:numId="18" w16cid:durableId="377124707">
    <w:abstractNumId w:val="23"/>
  </w:num>
  <w:num w:numId="19" w16cid:durableId="1040475323">
    <w:abstractNumId w:val="16"/>
  </w:num>
  <w:num w:numId="20" w16cid:durableId="1933540244">
    <w:abstractNumId w:val="16"/>
  </w:num>
  <w:num w:numId="21" w16cid:durableId="1215118617">
    <w:abstractNumId w:val="16"/>
  </w:num>
  <w:num w:numId="22" w16cid:durableId="1924534047">
    <w:abstractNumId w:val="16"/>
  </w:num>
  <w:num w:numId="23" w16cid:durableId="1817263245">
    <w:abstractNumId w:val="24"/>
  </w:num>
  <w:num w:numId="24" w16cid:durableId="154884725">
    <w:abstractNumId w:val="3"/>
  </w:num>
  <w:num w:numId="25" w16cid:durableId="1951551342">
    <w:abstractNumId w:val="3"/>
  </w:num>
  <w:num w:numId="26" w16cid:durableId="1636131864">
    <w:abstractNumId w:val="3"/>
  </w:num>
  <w:num w:numId="27" w16cid:durableId="300306270">
    <w:abstractNumId w:val="11"/>
  </w:num>
  <w:num w:numId="28" w16cid:durableId="1616211572">
    <w:abstractNumId w:val="11"/>
  </w:num>
  <w:num w:numId="29" w16cid:durableId="1084034714">
    <w:abstractNumId w:val="11"/>
  </w:num>
  <w:num w:numId="30" w16cid:durableId="570119002">
    <w:abstractNumId w:val="11"/>
  </w:num>
  <w:num w:numId="31" w16cid:durableId="1680236038">
    <w:abstractNumId w:val="11"/>
  </w:num>
  <w:num w:numId="32" w16cid:durableId="1834057155">
    <w:abstractNumId w:val="11"/>
  </w:num>
  <w:num w:numId="33" w16cid:durableId="2129814778">
    <w:abstractNumId w:val="22"/>
  </w:num>
  <w:num w:numId="34" w16cid:durableId="556210289">
    <w:abstractNumId w:val="22"/>
  </w:num>
  <w:num w:numId="35" w16cid:durableId="350767238">
    <w:abstractNumId w:val="22"/>
  </w:num>
  <w:num w:numId="36" w16cid:durableId="1621186948">
    <w:abstractNumId w:val="14"/>
  </w:num>
  <w:num w:numId="37" w16cid:durableId="1375539501">
    <w:abstractNumId w:val="6"/>
  </w:num>
  <w:num w:numId="38" w16cid:durableId="1008867666">
    <w:abstractNumId w:val="17"/>
  </w:num>
  <w:num w:numId="39" w16cid:durableId="16067659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5"/>
  </w:num>
  <w:num w:numId="45" w16cid:durableId="791050305">
    <w:abstractNumId w:val="10"/>
  </w:num>
  <w:num w:numId="46" w16cid:durableId="1645041899">
    <w:abstractNumId w:val="5"/>
  </w:num>
  <w:num w:numId="47" w16cid:durableId="1796484069">
    <w:abstractNumId w:val="12"/>
  </w:num>
  <w:num w:numId="48" w16cid:durableId="1804156698">
    <w:abstractNumId w:val="28"/>
  </w:num>
  <w:num w:numId="49" w16cid:durableId="816648738">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6D03"/>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23B3"/>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D5E20"/>
    <w:rsid w:val="002E03D1"/>
    <w:rsid w:val="002E6B74"/>
    <w:rsid w:val="002E6FCA"/>
    <w:rsid w:val="00356CD0"/>
    <w:rsid w:val="00362CD9"/>
    <w:rsid w:val="003761CA"/>
    <w:rsid w:val="00380DAF"/>
    <w:rsid w:val="003918E9"/>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87C53"/>
    <w:rsid w:val="004A6C1D"/>
    <w:rsid w:val="004B52D2"/>
    <w:rsid w:val="004D1D85"/>
    <w:rsid w:val="004D3C3A"/>
    <w:rsid w:val="004E1CD1"/>
    <w:rsid w:val="004F7EFC"/>
    <w:rsid w:val="005107EB"/>
    <w:rsid w:val="00511277"/>
    <w:rsid w:val="00521345"/>
    <w:rsid w:val="00523EF2"/>
    <w:rsid w:val="00526DF0"/>
    <w:rsid w:val="00545CC4"/>
    <w:rsid w:val="00551FFF"/>
    <w:rsid w:val="005607A2"/>
    <w:rsid w:val="0057198B"/>
    <w:rsid w:val="00573CFE"/>
    <w:rsid w:val="0057460F"/>
    <w:rsid w:val="005969F2"/>
    <w:rsid w:val="00597FAE"/>
    <w:rsid w:val="005A06A0"/>
    <w:rsid w:val="005A36D8"/>
    <w:rsid w:val="005B32A3"/>
    <w:rsid w:val="005C0D44"/>
    <w:rsid w:val="005C566C"/>
    <w:rsid w:val="005C7E69"/>
    <w:rsid w:val="005E262D"/>
    <w:rsid w:val="005F23D3"/>
    <w:rsid w:val="005F5ACA"/>
    <w:rsid w:val="005F7E20"/>
    <w:rsid w:val="00605E43"/>
    <w:rsid w:val="006153BB"/>
    <w:rsid w:val="006652C3"/>
    <w:rsid w:val="00691FD0"/>
    <w:rsid w:val="00692148"/>
    <w:rsid w:val="006A1A1E"/>
    <w:rsid w:val="006A4B8F"/>
    <w:rsid w:val="006C5948"/>
    <w:rsid w:val="006D3734"/>
    <w:rsid w:val="006F1DD1"/>
    <w:rsid w:val="006F2A74"/>
    <w:rsid w:val="007000D4"/>
    <w:rsid w:val="007118F5"/>
    <w:rsid w:val="00712AA4"/>
    <w:rsid w:val="007146C4"/>
    <w:rsid w:val="0071520E"/>
    <w:rsid w:val="00721AA1"/>
    <w:rsid w:val="00724B67"/>
    <w:rsid w:val="007547F8"/>
    <w:rsid w:val="00765622"/>
    <w:rsid w:val="00770B6C"/>
    <w:rsid w:val="00783FEA"/>
    <w:rsid w:val="0079670C"/>
    <w:rsid w:val="007A395D"/>
    <w:rsid w:val="007B28DE"/>
    <w:rsid w:val="007B6BD5"/>
    <w:rsid w:val="007C30DF"/>
    <w:rsid w:val="007C346C"/>
    <w:rsid w:val="007E6479"/>
    <w:rsid w:val="0080294B"/>
    <w:rsid w:val="0082480E"/>
    <w:rsid w:val="0082564F"/>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56368"/>
    <w:rsid w:val="00960BB8"/>
    <w:rsid w:val="00964F5C"/>
    <w:rsid w:val="00973B57"/>
    <w:rsid w:val="00975353"/>
    <w:rsid w:val="00975900"/>
    <w:rsid w:val="009831C0"/>
    <w:rsid w:val="0099161D"/>
    <w:rsid w:val="009A7ACB"/>
    <w:rsid w:val="00A0389B"/>
    <w:rsid w:val="00A03960"/>
    <w:rsid w:val="00A33A3C"/>
    <w:rsid w:val="00A446C9"/>
    <w:rsid w:val="00A635D6"/>
    <w:rsid w:val="00A71CF5"/>
    <w:rsid w:val="00A8553A"/>
    <w:rsid w:val="00A93AED"/>
    <w:rsid w:val="00AC41B4"/>
    <w:rsid w:val="00AD6E9C"/>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716C4"/>
    <w:rsid w:val="00C96422"/>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DF2DF0"/>
    <w:rsid w:val="00E00BE9"/>
    <w:rsid w:val="00E169D8"/>
    <w:rsid w:val="00E177EF"/>
    <w:rsid w:val="00E22A11"/>
    <w:rsid w:val="00E271F8"/>
    <w:rsid w:val="00E31E5C"/>
    <w:rsid w:val="00E44DD2"/>
    <w:rsid w:val="00E52B38"/>
    <w:rsid w:val="00E558C3"/>
    <w:rsid w:val="00E55927"/>
    <w:rsid w:val="00E60540"/>
    <w:rsid w:val="00E77122"/>
    <w:rsid w:val="00E860FF"/>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 w:val="00FF79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AC41B4"/>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79889-A026-4D11-88A8-0965FBFA9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767</Words>
  <Characters>4372</Characters>
  <Application>Microsoft Office Word</Application>
  <DocSecurity>0</DocSecurity>
  <Lines>36</Lines>
  <Paragraphs>10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10</cp:revision>
  <dcterms:created xsi:type="dcterms:W3CDTF">2024-09-11T09:02:00Z</dcterms:created>
  <dcterms:modified xsi:type="dcterms:W3CDTF">2024-09-24T13:08:00Z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